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006D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Times New Roman" w:hAnsi="Times New Roman" w:eastAsia="方正小标宋简体" w:cs="Times New Roman"/>
          <w:b w:val="0"/>
          <w:bCs/>
          <w:color w:val="auto"/>
          <w:sz w:val="44"/>
          <w:szCs w:val="44"/>
          <w:u w:val="none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b w:val="0"/>
          <w:bCs/>
          <w:color w:val="auto"/>
          <w:sz w:val="44"/>
          <w:szCs w:val="44"/>
          <w:u w:val="none"/>
          <w:shd w:val="clear" w:color="auto" w:fill="FFFFFF"/>
          <w:lang w:val="en-US" w:eastAsia="zh-CN"/>
        </w:rPr>
        <w:t>关于《数字淮北建设“十五五”规划》</w:t>
      </w:r>
    </w:p>
    <w:p w14:paraId="7EB637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/>
          <w:color w:val="auto"/>
          <w:sz w:val="44"/>
          <w:szCs w:val="44"/>
          <w:u w:val="none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b w:val="0"/>
          <w:bCs/>
          <w:color w:val="auto"/>
          <w:sz w:val="44"/>
          <w:szCs w:val="44"/>
          <w:u w:val="none"/>
          <w:shd w:val="clear" w:color="auto" w:fill="FFFFFF"/>
          <w:lang w:val="en-US" w:eastAsia="zh-CN"/>
        </w:rPr>
        <w:t>的起草说明</w:t>
      </w:r>
    </w:p>
    <w:p w14:paraId="3700A2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楷体_GB2312" w:hAnsi="楷体_GB2312" w:eastAsia="楷体_GB2312" w:cs="楷体_GB2312"/>
          <w:b w:val="0"/>
          <w:bCs/>
          <w:color w:val="auto"/>
          <w:sz w:val="32"/>
          <w:szCs w:val="32"/>
          <w:u w:val="none"/>
          <w:shd w:val="clear" w:color="auto" w:fill="FFFFFF"/>
          <w:lang w:val="en-US" w:eastAsia="zh-CN"/>
        </w:rPr>
      </w:pPr>
      <w:bookmarkStart w:id="0" w:name="_GoBack"/>
      <w:bookmarkEnd w:id="0"/>
    </w:p>
    <w:p w14:paraId="477172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/>
          <w:color w:val="auto"/>
          <w:sz w:val="32"/>
          <w:szCs w:val="32"/>
          <w:u w:val="none"/>
          <w:shd w:val="clear" w:color="auto" w:fill="FFFFFF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u w:val="none"/>
          <w:shd w:val="clear" w:color="auto" w:fill="FFFFFF"/>
          <w:lang w:val="en-US" w:eastAsia="zh-CN"/>
        </w:rPr>
        <w:t>一、背景依据及起草过程</w:t>
      </w:r>
    </w:p>
    <w:p w14:paraId="793FB35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“十五五”是我国现代化建设关键五年，也是我市推进资源型城市高质量转型、建设现代化美好淮北的攻坚阶段。为落实数字中国、数字安徽战略，立足淮北“一城一地”定位，抢抓长三角一体化、皖北全面振兴等多重战略机遇，我局牵头编制了《数字淮北建设“十五五”规划（征求意见稿）》（简称《规划》）。《规划》以</w:t>
      </w:r>
      <w:r>
        <w:rPr>
          <w:rFonts w:hint="eastAsia" w:ascii="Times New Roman" w:hAnsi="Times New Roman" w:eastAsia="仿宋_GB2312" w:cs="仿宋_GB2312"/>
          <w:b w:val="0"/>
          <w:bCs/>
          <w:color w:val="000000"/>
          <w:sz w:val="32"/>
          <w:szCs w:val="32"/>
          <w:lang w:eastAsia="zh-CN"/>
        </w:rPr>
        <w:t>数据要素化和要素数字化的协同发展带动</w:t>
      </w:r>
      <w:r>
        <w:rPr>
          <w:rFonts w:hint="eastAsia" w:ascii="Times New Roman" w:hAnsi="Times New Roman" w:eastAsia="仿宋_GB2312" w:cs="仿宋_GB2312"/>
          <w:b w:val="0"/>
          <w:bCs/>
          <w:color w:val="000000"/>
          <w:sz w:val="32"/>
          <w:szCs w:val="32"/>
          <w:lang w:val="en-US" w:eastAsia="zh-CN"/>
        </w:rPr>
        <w:t>经济、政治、文化、</w:t>
      </w:r>
      <w:r>
        <w:rPr>
          <w:rFonts w:hint="eastAsia" w:ascii="Times New Roman" w:hAnsi="Times New Roman" w:eastAsia="仿宋_GB2312" w:cs="仿宋_GB2312"/>
          <w:b w:val="0"/>
          <w:bCs/>
          <w:color w:val="000000"/>
          <w:sz w:val="32"/>
          <w:szCs w:val="32"/>
          <w:lang w:eastAsia="zh-CN"/>
        </w:rPr>
        <w:t>社会、生态</w:t>
      </w:r>
      <w:r>
        <w:rPr>
          <w:rFonts w:hint="eastAsia" w:ascii="Times New Roman" w:hAnsi="Times New Roman" w:eastAsia="仿宋_GB2312" w:cs="仿宋_GB2312"/>
          <w:b w:val="0"/>
          <w:bCs/>
          <w:color w:val="000000"/>
          <w:sz w:val="32"/>
          <w:szCs w:val="32"/>
          <w:lang w:val="en-US" w:eastAsia="zh-CN"/>
        </w:rPr>
        <w:t>文明</w:t>
      </w:r>
      <w:r>
        <w:rPr>
          <w:rFonts w:hint="eastAsia" w:ascii="Times New Roman" w:hAnsi="Times New Roman" w:eastAsia="仿宋_GB2312" w:cs="仿宋_GB2312"/>
          <w:b w:val="0"/>
          <w:bCs/>
          <w:color w:val="000000"/>
          <w:sz w:val="32"/>
          <w:szCs w:val="32"/>
          <w:lang w:eastAsia="zh-CN"/>
        </w:rPr>
        <w:t>全面数</w:t>
      </w:r>
      <w:r>
        <w:rPr>
          <w:rFonts w:hint="eastAsia" w:ascii="Times New Roman" w:hAnsi="Times New Roman" w:eastAsia="仿宋_GB2312" w:cs="仿宋_GB2312"/>
          <w:b w:val="0"/>
          <w:bCs/>
          <w:color w:val="000000"/>
          <w:sz w:val="32"/>
          <w:szCs w:val="32"/>
          <w:lang w:val="en-US" w:eastAsia="zh-CN"/>
        </w:rPr>
        <w:t>智</w:t>
      </w:r>
      <w:r>
        <w:rPr>
          <w:rFonts w:hint="eastAsia" w:ascii="Times New Roman" w:hAnsi="Times New Roman" w:eastAsia="仿宋_GB2312" w:cs="仿宋_GB2312"/>
          <w:b w:val="0"/>
          <w:bCs/>
          <w:color w:val="000000"/>
          <w:sz w:val="32"/>
          <w:szCs w:val="32"/>
          <w:lang w:eastAsia="zh-CN"/>
        </w:rPr>
        <w:t>化</w:t>
      </w:r>
      <w:r>
        <w:rPr>
          <w:rFonts w:hint="eastAsia" w:ascii="Times New Roman" w:hAnsi="Times New Roman" w:eastAsia="仿宋_GB2312" w:cs="仿宋_GB2312"/>
          <w:b w:val="0"/>
          <w:bCs/>
          <w:color w:val="000000"/>
          <w:sz w:val="32"/>
          <w:szCs w:val="32"/>
          <w:lang w:val="en-US" w:eastAsia="zh-CN"/>
        </w:rPr>
        <w:t>转型，</w:t>
      </w:r>
      <w:r>
        <w:rPr>
          <w:rFonts w:hint="eastAsia" w:ascii="Times New Roman" w:hAnsi="Times New Roman" w:eastAsia="仿宋_GB2312" w:cs="仿宋_GB2312"/>
          <w:b w:val="0"/>
          <w:bCs/>
          <w:color w:val="000000"/>
          <w:sz w:val="32"/>
          <w:szCs w:val="32"/>
        </w:rPr>
        <w:t>推动淮北资源型城市以数智技术赋能传统产业升级、培育新兴数字产业、修复数字生态短板，探索资源型城市数智化转型的特色路径，为全国同类城市转型发展提供安徽经验。</w:t>
      </w:r>
      <w:r>
        <w:rPr>
          <w:rFonts w:hint="eastAsia" w:ascii="Times New Roman" w:hAnsi="Times New Roman" w:eastAsia="仿宋_GB2312" w:cs="仿宋_GB2312"/>
          <w:b w:val="0"/>
          <w:bCs/>
          <w:color w:val="000000"/>
          <w:sz w:val="32"/>
          <w:szCs w:val="32"/>
          <w:lang w:val="en-US" w:eastAsia="zh-CN"/>
        </w:rPr>
        <w:t>2025年9月，我局组织开展了《规划》前期思路研究课题。2025年12月，成立三个工作组赴有关部门开展调研，着手起草《规划》初稿。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2026年5月完成规划初稿，5月28日召开了座谈会，邀请有关市直部门和专家进行讨论修订，6月5日广泛征求市直部门意见，6月下旬按照市发改委《关于专项规划工作若干注意事项的提示函》相关要求，再次对《规划》进行调整，7月份完成第三轮意见征集和修订。</w:t>
      </w:r>
    </w:p>
    <w:p w14:paraId="5B3FDD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0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u w:val="none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方正黑体_GBK" w:cs="Times New Roman"/>
          <w:sz w:val="32"/>
          <w:szCs w:val="32"/>
          <w:lang w:eastAsia="zh-CN"/>
        </w:rPr>
        <w:t>二、主要内容</w:t>
      </w:r>
    </w:p>
    <w:p w14:paraId="140229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《规划（征求意见稿）》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共分为五大部分。</w:t>
      </w:r>
    </w:p>
    <w:p w14:paraId="01E0C9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第一部分总体要求。</w:t>
      </w:r>
    </w:p>
    <w:p w14:paraId="6D5F02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第二至第四部分为建设任务。《数字淮北建设“十五五”规划》共有9个主要任务，主要内容如下：</w:t>
      </w:r>
    </w:p>
    <w:p w14:paraId="01BEF9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.夯实数字基础设施底座。围绕完善基础支撑网络、部署智能计算设施、建设数据基础设施、建设感知基础设施，推进5G/5G‑A全域覆盖，建设智算中心、可信数据空间，完善物联感知与低空基础设施，打造高速智能、安全泛在的数字底座。</w:t>
      </w:r>
    </w:p>
    <w:p w14:paraId="284FE0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.推进数据要素市场化配置改革。聚焦完善制度规范、扩大数据归集治理、促进政务数据共享开放、推进公共数据授权运营、推动数据产权登记与流通交易，健全数据全生命周期管理，构建市场化运营与交易机制，激活数据要素价值。</w:t>
      </w:r>
    </w:p>
    <w:p w14:paraId="2C0DBC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3.加强数字技术创新发展。以加快推进“人工智能+行动”、打造未来产业新高地、培育数智技术人才为重点，打造AI示范场景，发力未来材料、未来能源、空间科技、生命科技，培育数字创新新优势。</w:t>
      </w:r>
    </w:p>
    <w:p w14:paraId="1D5DB6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4.培育蓬勃健全数字经济。涵盖打造数字技术产业集群、锚定优势产业智造转型、构建“人工智能+制造”体系、推进服务业与农业数字化，推动数实深度融合，做强数字产业，赋能传统产业提质升级。</w:t>
      </w:r>
    </w:p>
    <w:p w14:paraId="3A13C7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5.建设协同高效数字政府。围绕提升数字政府支撑能力、持续优化政务服务水平、全面提升机关运行效能，夯实数据底座，深化“高效办成一件事”，推进跨部门协同与智能办公，打造高效协同、利企便民的数字政府。</w:t>
      </w:r>
    </w:p>
    <w:p w14:paraId="7DB979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6.打造自信繁荣数字文化。聚焦推动文化产业高质量发展、完善智慧文旅服务体系，推动文化数智化转型，搭建文旅体一体化平台，打造沉浸式体验与数字文创IP，以数字技术赋能文化繁荣与文旅提质。</w:t>
      </w:r>
    </w:p>
    <w:p w14:paraId="34777A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7.营造普惠便捷数字社会。覆盖强化教育数字化转型、构建普惠医疗服务体系、健全智慧养老服务保障、提升交通智慧运行水平、优化数字社保便民服务、纵深推进市域治理建设、加快智慧乡村振兴发展，推进公共服务数字化，构建便民服务圈，实施城市生命线工程，完善城乡数字治理，让数字化成果普惠全体市民。</w:t>
      </w:r>
    </w:p>
    <w:p w14:paraId="6B4757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8.构建绿色智慧生态文明。围绕推进智慧生态治理建设、强化自然资源管理效能，搭建生态全要素监测网络与智慧环保平台，完善自然资源“一张图”与智能规划系统，以数字化提升生态保护与资源管理水平。</w:t>
      </w:r>
    </w:p>
    <w:p w14:paraId="536A7C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9.健全数智化发展环境。按照筑牢网络和数据安全防线、推进政务信息化建设管理、规范数字政务服务管理规则，强化安全监管与应急处置，规范项目统建统运维，健全服务监管与适老保障，护航数字化健康发展。</w:t>
      </w:r>
    </w:p>
    <w:p w14:paraId="3760E3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u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第五部分保障措施。</w:t>
      </w:r>
    </w:p>
    <w:sectPr>
      <w:footerReference r:id="rId3" w:type="default"/>
      <w:pgSz w:w="11906" w:h="16838"/>
      <w:pgMar w:top="2098" w:right="1474" w:bottom="1984" w:left="1587" w:header="851" w:footer="1587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微软雅黑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altName w:val="noto sans tha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oto sans thai">
    <w:panose1 w:val="020B0502040504020204"/>
    <w:charset w:val="00"/>
    <w:family w:val="auto"/>
    <w:pitch w:val="default"/>
    <w:sig w:usb0="81000063" w:usb1="00002000" w:usb2="00000000" w:usb3="00000000" w:csb0="0001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5BA08E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CC2E89D">
                          <w:pPr>
                            <w:pStyle w:val="4"/>
                            <w:rPr>
                              <w:sz w:val="28"/>
                              <w:szCs w:val="44"/>
                            </w:rPr>
                          </w:pPr>
                          <w:r>
                            <w:rPr>
                              <w:sz w:val="28"/>
                              <w:szCs w:val="44"/>
                            </w:rPr>
                            <w:t xml:space="preserve">— </w:t>
                          </w:r>
                          <w:r>
                            <w:rPr>
                              <w:sz w:val="28"/>
                              <w:szCs w:val="44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44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44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44"/>
                            </w:rPr>
                            <w:t>1</w:t>
                          </w:r>
                          <w:r>
                            <w:rPr>
                              <w:sz w:val="28"/>
                              <w:szCs w:val="44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44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CC2E89D">
                    <w:pPr>
                      <w:pStyle w:val="4"/>
                      <w:rPr>
                        <w:sz w:val="28"/>
                        <w:szCs w:val="44"/>
                      </w:rPr>
                    </w:pPr>
                    <w:r>
                      <w:rPr>
                        <w:sz w:val="28"/>
                        <w:szCs w:val="44"/>
                      </w:rPr>
                      <w:t xml:space="preserve">— </w:t>
                    </w:r>
                    <w:r>
                      <w:rPr>
                        <w:sz w:val="28"/>
                        <w:szCs w:val="44"/>
                      </w:rPr>
                      <w:fldChar w:fldCharType="begin"/>
                    </w:r>
                    <w:r>
                      <w:rPr>
                        <w:sz w:val="28"/>
                        <w:szCs w:val="44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44"/>
                      </w:rPr>
                      <w:fldChar w:fldCharType="separate"/>
                    </w:r>
                    <w:r>
                      <w:rPr>
                        <w:sz w:val="28"/>
                        <w:szCs w:val="44"/>
                      </w:rPr>
                      <w:t>1</w:t>
                    </w:r>
                    <w:r>
                      <w:rPr>
                        <w:sz w:val="28"/>
                        <w:szCs w:val="44"/>
                      </w:rPr>
                      <w:fldChar w:fldCharType="end"/>
                    </w:r>
                    <w:r>
                      <w:rPr>
                        <w:sz w:val="28"/>
                        <w:szCs w:val="4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B639568"/>
    <w:rsid w:val="55776476"/>
    <w:rsid w:val="6FAF56BD"/>
    <w:rsid w:val="BFD51F07"/>
    <w:rsid w:val="FB639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next w:val="3"/>
    <w:qFormat/>
    <w:uiPriority w:val="0"/>
    <w:pPr>
      <w:spacing w:after="120" w:afterLines="0" w:afterAutospacing="0"/>
      <w:ind w:left="420" w:leftChars="200"/>
    </w:pPr>
  </w:style>
  <w:style w:type="paragraph" w:styleId="3">
    <w:name w:val="envelope return"/>
    <w:basedOn w:val="1"/>
    <w:qFormat/>
    <w:uiPriority w:val="0"/>
    <w:pPr>
      <w:snapToGrid w:val="0"/>
    </w:pPr>
    <w:rPr>
      <w:rFonts w:ascii="Arial" w:hAnsi="Arial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toc 2"/>
    <w:basedOn w:val="1"/>
    <w:next w:val="1"/>
    <w:qFormat/>
    <w:uiPriority w:val="0"/>
    <w:pPr>
      <w:ind w:left="420" w:leftChars="200"/>
    </w:pPr>
  </w:style>
  <w:style w:type="paragraph" w:styleId="7">
    <w:name w:val="Body Text First Indent 2"/>
    <w:basedOn w:val="2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2026-08-15T16:46:00Z</dcterms:created>
  <dc:creator>贝加尔湖畔</dc:creator>
  <cp:lastModifiedBy>匣与枯</cp:lastModifiedBy>
  <dcterms:modified xsi:type="dcterms:W3CDTF">2026-10-27T15:26:09Z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76968B7C0F28008250D4B96A1493C8BB_43</vt:lpwstr>
  </property>
</Properties>
</file>